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D0266F8" w14:textId="26D2BF19" w:rsidR="00A252FF" w:rsidRDefault="00A252FF" w:rsidP="00A92DDF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66255428"/>
      <w:r w:rsidRPr="000E18A7">
        <w:rPr>
          <w:rFonts w:cs="Arial"/>
          <w:b/>
          <w:color w:val="0033CC"/>
          <w:sz w:val="28"/>
          <w:szCs w:val="28"/>
        </w:rPr>
        <w:t xml:space="preserve">„Lesopark </w:t>
      </w:r>
      <w:r w:rsidR="000E18A7" w:rsidRPr="000E18A7">
        <w:rPr>
          <w:rFonts w:cs="Arial"/>
          <w:b/>
          <w:color w:val="0033CC"/>
          <w:sz w:val="28"/>
          <w:szCs w:val="28"/>
        </w:rPr>
        <w:t>P</w:t>
      </w:r>
      <w:r w:rsidRPr="000E18A7">
        <w:rPr>
          <w:rFonts w:cs="Arial"/>
          <w:b/>
          <w:color w:val="0033CC"/>
          <w:sz w:val="28"/>
          <w:szCs w:val="28"/>
        </w:rPr>
        <w:t>od Kalichem v Sušici – stavební část“</w:t>
      </w:r>
      <w:bookmarkEnd w:id="0"/>
    </w:p>
    <w:p w14:paraId="72C0DD41" w14:textId="5E137F2A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14:paraId="3F6E9CC3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1180B877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6B34B" w14:textId="77777777" w:rsidR="00AD0101" w:rsidRDefault="00AD0101">
      <w:r>
        <w:separator/>
      </w:r>
    </w:p>
  </w:endnote>
  <w:endnote w:type="continuationSeparator" w:id="0">
    <w:p w14:paraId="64F5AEB6" w14:textId="77777777" w:rsidR="00AD0101" w:rsidRDefault="00AD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019CB" w14:textId="77777777" w:rsidR="00AD0101" w:rsidRDefault="00AD0101">
      <w:r>
        <w:separator/>
      </w:r>
    </w:p>
  </w:footnote>
  <w:footnote w:type="continuationSeparator" w:id="0">
    <w:p w14:paraId="64C2F7FB" w14:textId="77777777" w:rsidR="00AD0101" w:rsidRDefault="00AD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633D3"/>
    <w:rsid w:val="000633EE"/>
    <w:rsid w:val="00077F3A"/>
    <w:rsid w:val="000A0C08"/>
    <w:rsid w:val="000A383C"/>
    <w:rsid w:val="000C2E21"/>
    <w:rsid w:val="000E18A7"/>
    <w:rsid w:val="000E1A3D"/>
    <w:rsid w:val="000E3A6F"/>
    <w:rsid w:val="00106F08"/>
    <w:rsid w:val="00135C3E"/>
    <w:rsid w:val="001B179D"/>
    <w:rsid w:val="001C0E38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17856"/>
    <w:rsid w:val="009F0DF4"/>
    <w:rsid w:val="00A252FF"/>
    <w:rsid w:val="00A81605"/>
    <w:rsid w:val="00A84D2F"/>
    <w:rsid w:val="00A92DDF"/>
    <w:rsid w:val="00A939F4"/>
    <w:rsid w:val="00AB7B59"/>
    <w:rsid w:val="00AD0101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65278"/>
    <w:rsid w:val="00EA2B05"/>
    <w:rsid w:val="00F1433A"/>
    <w:rsid w:val="00F203BB"/>
    <w:rsid w:val="00F43FCE"/>
    <w:rsid w:val="00F57D72"/>
    <w:rsid w:val="00F65912"/>
    <w:rsid w:val="00F71ADC"/>
    <w:rsid w:val="00F84F58"/>
    <w:rsid w:val="00F944D5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Dio</cp:lastModifiedBy>
  <cp:revision>8</cp:revision>
  <cp:lastPrinted>2010-03-07T15:33:00Z</cp:lastPrinted>
  <dcterms:created xsi:type="dcterms:W3CDTF">2019-01-04T10:12:00Z</dcterms:created>
  <dcterms:modified xsi:type="dcterms:W3CDTF">2021-03-25T12:48:00Z</dcterms:modified>
</cp:coreProperties>
</file>